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120" w:line="480"/>
        <w:ind w:left="120"/>
        <w:jc w:val="right"/>
      </w:pPr>
      <w:r>
        <w:rPr>
          <w:rFonts w:ascii="Times New Roman" w:hAnsi="Times New Roman"/>
          <w:b/>
          <w:i w:val="false"/>
          <w:color w:val="000000"/>
          <w:sz w:val="28"/>
        </w:rPr>
        <w:t>RA 26-295</w:t>
      </w:r>
    </w:p>
    <w:p>
      <w:pPr>
        <w:spacing w:before="0" w:after="0" w:line="480"/>
        <w:ind w:left="120"/>
        <w:jc w:val="left"/>
      </w:pPr>
    </w:p>
    <w:p>
      <w:pPr>
        <w:spacing w:before="0" w:after="0" w:line="480"/>
        <w:ind w:left="120"/>
        <w:jc w:val="center"/>
      </w:pPr>
      <w:r>
        <w:rPr>
          <w:rFonts w:ascii="Times New Roman" w:hAnsi="Times New Roman"/>
          <w:b/>
          <w:i w:val="false"/>
          <w:color w:val="000000"/>
          <w:sz w:val="28"/>
        </w:rPr>
        <w:t>INSPECTIONS AND APPEALS DEPARTMENT[481]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481—Chapters 390 and 391</w:t>
      </w:r>
    </w:p>
    <w:p>
      <w:pPr>
        <w:spacing w:before="0" w:after="0" w:line="480"/>
        <w:ind w:left="120"/>
        <w:jc w:val="center"/>
      </w:pPr>
      <w:r>
        <w:rPr>
          <w:rFonts w:ascii="Times New Roman" w:hAnsi="Times New Roman"/>
          <w:b w:val="false"/>
          <w:i w:val="false"/>
          <w:color w:val="000000"/>
          <w:sz w:val="24"/>
        </w:rPr>
        <w:t>“Boiler and Pressure Vessel Board—Adoption by Reference”</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89.14</w:t>
      </w:r>
    </w:p>
    <w:p>
      <w:pPr>
        <w:spacing w:before="0" w:after="0" w:line="480"/>
        <w:ind w:left="120"/>
        <w:jc w:val="both"/>
      </w:pPr>
      <w:r>
        <w:rPr>
          <w:rFonts w:ascii="Times New Roman" w:hAnsi="Times New Roman"/>
          <w:b w:val="false"/>
          <w:i w:val="false"/>
          <w:color w:val="000000"/>
          <w:sz w:val="24"/>
        </w:rPr>
        <w:t>State or federal law(s) implemented by the rulemaking: Iowa Code section 89.14</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49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October 6, 2026</w:t>
            </w:r>
            <w:r>
              <w:br/>
            </w:r>
            <w:r>
              <w:rPr>
                <w:rFonts w:ascii="Times New Roman" w:hAnsi="Times New Roman"/>
                <w:b w:val="false"/>
                <w:i w:val="false"/>
                <w:color w:val="000000"/>
                <w:sz w:val="14"/>
              </w:rPr>
              <w:t>11 to 11:15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Geode Conference Room</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w:t>
            </w:r>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Inspections, Appeals, and Licensing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96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Mitchell Mahan</w:t>
            </w:r>
            <w:r>
              <w:br/>
            </w:r>
            <w:r>
              <w:rPr>
                <w:rFonts w:ascii="Times New Roman" w:hAnsi="Times New Roman"/>
                <w:b w:val="false"/>
                <w:i w:val="false"/>
                <w:color w:val="000000"/>
                <w:sz w:val="14"/>
              </w:rPr>
              <w:t>Department of Inspections, Appeals, and Licensing</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Des Moines, Iowa 50321-1270</w:t>
            </w:r>
            <w:r>
              <w:br/>
            </w:r>
            <w:r>
              <w:rPr>
                <w:rFonts w:ascii="Times New Roman" w:hAnsi="Times New Roman"/>
                <w:b w:val="false"/>
                <w:i w:val="false"/>
                <w:color w:val="000000"/>
                <w:sz w:val="14"/>
              </w:rPr>
              <w:t>Phone: 515.443.1051</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mitchell.mahan@dia.iowa.gov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updates the publication dates of codes adopted by reference. It also corrects rule citations.</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Owners of covered boilers and pressure vessels bear the cost of compliance with adopted codes.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Owners of covered boilers and pressure vessels will benefit.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known quantitative impact.</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boiler and pressure vessel industry expects enforcement under recent standards, which this rulemaking accomplishes.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 agency has no additional costs associated with these updates.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 rulemaking has no anticipated fiscal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benefits of safe boilers and pressure vessels outweigh any costs.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Department has not identified any less costly or less intrusive methods.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No alternative methods were seriously considered.</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This rulemaking updates adopted codes of proven effectiveness.</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updated rules do not have a substantial impact on small business.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390.5(1)</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390.5(1)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 xml:space="preserve">All boilers and unfired steam pressure vessels covered by Iowa Code chapter </w:t>
      </w:r>
      <w:hyperlink r:id="rId5">
        <w:r>
          <w:rPr>
            <w:rStyle w:val="Hyperlink"/>
            <w:rFonts w:ascii="Times New Roman" w:hAnsi="Times New Roman"/>
            <w:b w:val="false"/>
            <w:i w:val="false"/>
            <w:color w:val="000000"/>
            <w:sz w:val="24"/>
          </w:rPr>
          <w:t>89</w:t>
        </w:r>
      </w:hyperlink>
      <w:r>
        <w:rPr>
          <w:rFonts w:ascii="Times New Roman" w:hAnsi="Times New Roman"/>
          <w:b w:val="false"/>
          <w:i w:val="false"/>
          <w:color w:val="000000"/>
          <w:sz w:val="24"/>
        </w:rPr>
        <w:t xml:space="preserve"> are inspected according to the requirements of the National Board Inspection Code (</w:t>
      </w:r>
      <w:r>
        <w:rPr>
          <w:rFonts w:ascii="Times New Roman" w:hAnsi="Times New Roman"/>
          <w:b w:val="false"/>
          <w:i w:val="false"/>
          <w:strike/>
          <w:color w:val="000000"/>
          <w:sz w:val="24"/>
        </w:rPr>
        <w:t>2021</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which is hereby adopted by reference. A department inspector or special inspector must perform the inspections.</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2.</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481—390.14(89)</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481—390.14</w:t>
      </w:r>
      <w:r>
        <w:rPr>
          <w:rFonts w:ascii="Times New Roman" w:hAnsi="Times New Roman"/>
          <w:b/>
          <w:i w:val="false"/>
          <w:color w:val="000000"/>
          <w:sz w:val="24"/>
        </w:rPr>
        <w:t xml:space="preserve">(89) </w:t>
      </w:r>
      <w:r>
        <w:rPr>
          <w:rFonts w:ascii="Times New Roman" w:hAnsi="Times New Roman"/>
          <w:b/>
          <w:i w:val="false"/>
          <w:color w:val="000000"/>
          <w:sz w:val="24"/>
        </w:rPr>
        <w:t xml:space="preserve">Conversion of a power boiler to a low-pressure boiler. </w:t>
      </w:r>
      <w:r>
        <w:rPr>
          <w:rFonts w:ascii="Times New Roman" w:hAnsi="Times New Roman"/>
          <w:b w:val="false"/>
          <w:i w:val="false"/>
          <w:color w:val="000000"/>
          <w:sz w:val="24"/>
        </w:rPr>
        <w:t xml:space="preserve">The following requirements apply to the conversion of a power boiler to a low-pressure boiler. The owner shall comply with the requirements of subrule </w:t>
      </w:r>
      <w:hyperlink r:id="rId6">
        <w:r>
          <w:rPr>
            <w:rStyle w:val="Hyperlink"/>
            <w:rFonts w:ascii="Times New Roman" w:hAnsi="Times New Roman"/>
            <w:b w:val="false"/>
            <w:i w:val="false"/>
            <w:strike/>
            <w:color w:val="000000"/>
            <w:sz w:val="24"/>
          </w:rPr>
          <w:t>390.15(1)</w:t>
        </w:r>
      </w:hyperlink>
      <w:r>
        <w:rPr>
          <w:rFonts w:ascii="Times New Roman" w:hAnsi="Times New Roman"/>
          <w:b w:val="false"/>
          <w:i w:val="false"/>
          <w:color w:val="000000"/>
          <w:sz w:val="24"/>
          <w:u w:val="single"/>
        </w:rPr>
        <w:t> </w:t>
      </w:r>
      <w:hyperlink r:id="rId7">
        <w:r>
          <w:rPr>
            <w:rStyle w:val="Hyperlink"/>
            <w:rFonts w:ascii="Times New Roman" w:hAnsi="Times New Roman"/>
            <w:b w:val="false"/>
            <w:i w:val="false"/>
            <w:color w:val="000000"/>
            <w:sz w:val="24"/>
            <w:u w:val="single"/>
          </w:rPr>
          <w:t>390.14(1)</w:t>
        </w:r>
      </w:hyperlink>
      <w:r>
        <w:rPr>
          <w:rFonts w:ascii="Times New Roman" w:hAnsi="Times New Roman"/>
          <w:b w:val="false"/>
          <w:i w:val="false"/>
          <w:color w:val="000000"/>
          <w:sz w:val="24"/>
        </w:rPr>
        <w:t xml:space="preserve"> for each conversion. In addition, the owner shall comply with the requirements of subrule </w:t>
      </w:r>
      <w:hyperlink r:id="rId8">
        <w:r>
          <w:rPr>
            <w:rStyle w:val="Hyperlink"/>
            <w:rFonts w:ascii="Times New Roman" w:hAnsi="Times New Roman"/>
            <w:b w:val="false"/>
            <w:i w:val="false"/>
            <w:strike/>
            <w:color w:val="000000"/>
            <w:sz w:val="24"/>
          </w:rPr>
          <w:t>390.15(2)</w:t>
        </w:r>
      </w:hyperlink>
      <w:r>
        <w:rPr>
          <w:rFonts w:ascii="Times New Roman" w:hAnsi="Times New Roman"/>
          <w:b w:val="false"/>
          <w:i w:val="false"/>
          <w:color w:val="000000"/>
          <w:sz w:val="24"/>
          <w:u w:val="single"/>
        </w:rPr>
        <w:t> </w:t>
      </w:r>
      <w:hyperlink r:id="rId9">
        <w:r>
          <w:rPr>
            <w:rStyle w:val="Hyperlink"/>
            <w:rFonts w:ascii="Times New Roman" w:hAnsi="Times New Roman"/>
            <w:b w:val="false"/>
            <w:i w:val="false"/>
            <w:color w:val="000000"/>
            <w:sz w:val="24"/>
            <w:u w:val="single"/>
          </w:rPr>
          <w:t>390.14(2)</w:t>
        </w:r>
      </w:hyperlink>
      <w:r>
        <w:rPr>
          <w:rFonts w:ascii="Times New Roman" w:hAnsi="Times New Roman"/>
          <w:b w:val="false"/>
          <w:i w:val="false"/>
          <w:color w:val="000000"/>
          <w:sz w:val="24"/>
        </w:rPr>
        <w:t xml:space="preserve"> if the converted object will be located outside of a place of public assembly or with the requirements of subrule </w:t>
      </w:r>
      <w:hyperlink r:id="rId10">
        <w:r>
          <w:rPr>
            <w:rStyle w:val="Hyperlink"/>
            <w:rFonts w:ascii="Times New Roman" w:hAnsi="Times New Roman"/>
            <w:b w:val="false"/>
            <w:i w:val="false"/>
            <w:strike/>
            <w:color w:val="000000"/>
            <w:sz w:val="24"/>
          </w:rPr>
          <w:t>390.15(3)</w:t>
        </w:r>
      </w:hyperlink>
      <w:r>
        <w:rPr>
          <w:rFonts w:ascii="Times New Roman" w:hAnsi="Times New Roman"/>
          <w:b w:val="false"/>
          <w:i w:val="false"/>
          <w:color w:val="000000"/>
          <w:sz w:val="24"/>
          <w:u w:val="single"/>
        </w:rPr>
        <w:t> </w:t>
      </w:r>
      <w:hyperlink r:id="rId11">
        <w:r>
          <w:rPr>
            <w:rStyle w:val="Hyperlink"/>
            <w:rFonts w:ascii="Times New Roman" w:hAnsi="Times New Roman"/>
            <w:b w:val="false"/>
            <w:i w:val="false"/>
            <w:color w:val="000000"/>
            <w:sz w:val="24"/>
            <w:u w:val="single"/>
          </w:rPr>
          <w:t>390.14(3)</w:t>
        </w:r>
      </w:hyperlink>
      <w:r>
        <w:rPr>
          <w:rFonts w:ascii="Times New Roman" w:hAnsi="Times New Roman"/>
          <w:b w:val="false"/>
          <w:i w:val="false"/>
          <w:color w:val="000000"/>
          <w:sz w:val="24"/>
        </w:rPr>
        <w:t xml:space="preserve"> if the converted object will be located in a place of public assembly.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390.14(1)</w:t>
      </w:r>
      <w:r>
        <w:rPr>
          <w:rFonts w:ascii="Times New Roman" w:hAnsi="Times New Roman"/>
          <w:b w:val="false"/>
          <w:i w:val="false"/>
          <w:color w:val="000000"/>
          <w:sz w:val="24"/>
        </w:rPr>
        <w:t xml:space="preserve"> to </w:t>
      </w:r>
      <w:r>
        <w:rPr>
          <w:rFonts w:ascii="Times New Roman" w:hAnsi="Times New Roman"/>
          <w:b/>
          <w:i w:val="false"/>
          <w:color w:val="000000"/>
          <w:sz w:val="24"/>
        </w:rPr>
        <w:t>390.14(3)</w:t>
      </w:r>
      <w:r>
        <w:rPr>
          <w:rFonts w:ascii="Times New Roman" w:hAnsi="Times New Roman"/>
          <w:b w:val="false"/>
          <w:i w:val="false"/>
          <w:color w:val="000000"/>
          <w:sz w:val="24"/>
        </w:rPr>
        <w:t xml:space="preserve"> No change.</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3.</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rule </w:t>
      </w:r>
      <w:r>
        <w:rPr>
          <w:rFonts w:ascii="Times New Roman" w:hAnsi="Times New Roman"/>
          <w:b w:val="false"/>
          <w:i w:val="false"/>
          <w:color w:val="000000"/>
          <w:sz w:val="24"/>
        </w:rPr>
        <w:t>481—391.1(89)</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i w:val="false"/>
          <w:color w:val="000000"/>
          <w:sz w:val="24"/>
        </w:rPr>
        <w:t>481—391.1</w:t>
      </w:r>
      <w:r>
        <w:rPr>
          <w:rFonts w:ascii="Times New Roman" w:hAnsi="Times New Roman"/>
          <w:b/>
          <w:i w:val="false"/>
          <w:color w:val="000000"/>
          <w:sz w:val="24"/>
        </w:rPr>
        <w:t xml:space="preserve">(89) </w:t>
      </w:r>
      <w:r>
        <w:rPr>
          <w:rFonts w:ascii="Times New Roman" w:hAnsi="Times New Roman"/>
          <w:b/>
          <w:i w:val="false"/>
          <w:color w:val="000000"/>
          <w:sz w:val="24"/>
        </w:rPr>
        <w:t xml:space="preserve">Codes and code cases adopted by reference.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391.1(1)</w:t>
      </w:r>
      <w:r>
        <w:rPr>
          <w:rFonts w:ascii="Times New Roman" w:hAnsi="Times New Roman"/>
          <w:b w:val="false"/>
          <w:i w:val="false"/>
          <w:color w:val="000000"/>
          <w:sz w:val="24"/>
        </w:rPr>
        <w:t> </w:t>
      </w:r>
      <w:r>
        <w:rPr>
          <w:rFonts w:ascii="Times New Roman" w:hAnsi="Times New Roman"/>
          <w:b w:val="false"/>
          <w:i/>
          <w:color w:val="000000"/>
          <w:sz w:val="24"/>
        </w:rPr>
        <w:t xml:space="preserve">ASME boiler and pressure vessel codes adopted by reference. </w:t>
      </w:r>
      <w:r>
        <w:rPr>
          <w:rFonts w:ascii="Times New Roman" w:hAnsi="Times New Roman"/>
          <w:b w:val="false"/>
          <w:i w:val="false"/>
          <w:color w:val="000000"/>
          <w:sz w:val="24"/>
        </w:rPr>
        <w:t>The ASME Boiler and Pressure Vessel Code (</w:t>
      </w:r>
      <w:r>
        <w:rPr>
          <w:rFonts w:ascii="Times New Roman" w:hAnsi="Times New Roman"/>
          <w:b w:val="false"/>
          <w:i w:val="false"/>
          <w:strike/>
          <w:color w:val="000000"/>
          <w:sz w:val="24"/>
        </w:rPr>
        <w:t>2021</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including Code Cases, is adopted by reference. Regulated objects shall be designed and constructed in accordance with the ASME Boiler and Pressure Vessel Code (</w:t>
      </w:r>
      <w:r>
        <w:rPr>
          <w:rFonts w:ascii="Times New Roman" w:hAnsi="Times New Roman"/>
          <w:b w:val="false"/>
          <w:i w:val="false"/>
          <w:strike/>
          <w:color w:val="000000"/>
          <w:sz w:val="24"/>
        </w:rPr>
        <w:t>2021</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except for objects that meet one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to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 change.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391.1(2)</w:t>
      </w:r>
      <w:r>
        <w:rPr>
          <w:rFonts w:ascii="Times New Roman" w:hAnsi="Times New Roman"/>
          <w:b w:val="false"/>
          <w:i w:val="false"/>
          <w:color w:val="000000"/>
          <w:sz w:val="24"/>
        </w:rPr>
        <w:t> </w:t>
      </w:r>
      <w:r>
        <w:rPr>
          <w:rFonts w:ascii="Times New Roman" w:hAnsi="Times New Roman"/>
          <w:b w:val="false"/>
          <w:i/>
          <w:color w:val="000000"/>
          <w:sz w:val="24"/>
        </w:rPr>
        <w:t xml:space="preserve">Inspection code adopted by reference. </w:t>
      </w:r>
      <w:r>
        <w:rPr>
          <w:rFonts w:ascii="Times New Roman" w:hAnsi="Times New Roman"/>
          <w:b w:val="false"/>
          <w:i w:val="false"/>
          <w:color w:val="000000"/>
          <w:sz w:val="24"/>
        </w:rPr>
        <w:t>The National Board Inspection Code (</w:t>
      </w:r>
      <w:r>
        <w:rPr>
          <w:rFonts w:ascii="Times New Roman" w:hAnsi="Times New Roman"/>
          <w:b w:val="false"/>
          <w:i w:val="false"/>
          <w:strike/>
          <w:color w:val="000000"/>
          <w:sz w:val="24"/>
        </w:rPr>
        <w:t>2021</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is adopted by reference, and installations, alterations, and repairs after February 16, 2022, shall comply with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391.1(3)</w:t>
      </w:r>
      <w:r>
        <w:rPr>
          <w:rFonts w:ascii="Times New Roman" w:hAnsi="Times New Roman"/>
          <w:b w:val="false"/>
          <w:i w:val="false"/>
          <w:color w:val="000000"/>
          <w:sz w:val="24"/>
        </w:rPr>
        <w:t> </w:t>
      </w:r>
      <w:r>
        <w:rPr>
          <w:rFonts w:ascii="Times New Roman" w:hAnsi="Times New Roman"/>
          <w:b w:val="false"/>
          <w:i/>
          <w:color w:val="000000"/>
          <w:sz w:val="24"/>
        </w:rPr>
        <w:t xml:space="preserve">Electric code adopted by reference. </w:t>
      </w:r>
      <w:r>
        <w:rPr>
          <w:rFonts w:ascii="Times New Roman" w:hAnsi="Times New Roman"/>
          <w:b w:val="false"/>
          <w:i w:val="false"/>
          <w:color w:val="000000"/>
          <w:sz w:val="24"/>
        </w:rPr>
        <w:t>The National Electrical Code, NFPA 70 (</w:t>
      </w:r>
      <w:r>
        <w:rPr>
          <w:rFonts w:ascii="Times New Roman" w:hAnsi="Times New Roman"/>
          <w:b w:val="false"/>
          <w:i w:val="false"/>
          <w:strike/>
          <w:color w:val="000000"/>
          <w:sz w:val="24"/>
        </w:rPr>
        <w:t>2020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2026</w:t>
      </w:r>
      <w:r>
        <w:rPr>
          <w:rFonts w:ascii="Times New Roman" w:hAnsi="Times New Roman"/>
          <w:b w:val="false"/>
          <w:i w:val="false"/>
          <w:color w:val="000000"/>
          <w:sz w:val="24"/>
        </w:rPr>
        <w:t>), is adopted by reference, and installations after April 15, 2020, shall comply with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391.1(4)</w:t>
      </w:r>
      <w:r>
        <w:rPr>
          <w:rFonts w:ascii="Times New Roman" w:hAnsi="Times New Roman"/>
          <w:b w:val="false"/>
          <w:i w:val="false"/>
          <w:color w:val="000000"/>
          <w:sz w:val="24"/>
        </w:rPr>
        <w:t> </w:t>
      </w:r>
      <w:r>
        <w:rPr>
          <w:rFonts w:ascii="Times New Roman" w:hAnsi="Times New Roman"/>
          <w:b w:val="false"/>
          <w:i/>
          <w:color w:val="000000"/>
          <w:sz w:val="24"/>
        </w:rPr>
        <w:t xml:space="preserve">Piping codes adopted by reference. </w:t>
      </w:r>
      <w:r>
        <w:rPr>
          <w:rFonts w:ascii="Times New Roman" w:hAnsi="Times New Roman"/>
          <w:b w:val="false"/>
          <w:i w:val="false"/>
          <w:color w:val="000000"/>
          <w:sz w:val="24"/>
        </w:rPr>
        <w:t>The Power Piping Code, ASME B31.1 (</w:t>
      </w:r>
      <w:r>
        <w:rPr>
          <w:rFonts w:ascii="Times New Roman" w:hAnsi="Times New Roman"/>
          <w:b w:val="false"/>
          <w:i w:val="false"/>
          <w:strike/>
          <w:color w:val="000000"/>
          <w:sz w:val="24"/>
        </w:rPr>
        <w:t>2020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and the Building Services Piping Code, ASME B31.9 (</w:t>
      </w:r>
      <w:r>
        <w:rPr>
          <w:rFonts w:ascii="Times New Roman" w:hAnsi="Times New Roman"/>
          <w:b w:val="false"/>
          <w:i w:val="false"/>
          <w:strike/>
          <w:color w:val="000000"/>
          <w:sz w:val="24"/>
        </w:rPr>
        <w:t>2020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2025</w:t>
      </w:r>
      <w:r>
        <w:rPr>
          <w:rFonts w:ascii="Times New Roman" w:hAnsi="Times New Roman"/>
          <w:b w:val="false"/>
          <w:i w:val="false"/>
          <w:color w:val="000000"/>
          <w:sz w:val="24"/>
        </w:rPr>
        <w:t>), are adopted by reference, and installations after February 16, 2022, shall comply with them up to and including the first valve.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391.1(5)</w:t>
      </w:r>
      <w:r>
        <w:rPr>
          <w:rFonts w:ascii="Times New Roman" w:hAnsi="Times New Roman"/>
          <w:b w:val="false"/>
          <w:i w:val="false"/>
          <w:color w:val="000000"/>
          <w:sz w:val="24"/>
        </w:rPr>
        <w:t> </w:t>
      </w:r>
      <w:r>
        <w:rPr>
          <w:rFonts w:ascii="Times New Roman" w:hAnsi="Times New Roman"/>
          <w:b w:val="false"/>
          <w:i/>
          <w:color w:val="000000"/>
          <w:sz w:val="24"/>
        </w:rPr>
        <w:t xml:space="preserve">Control and safety device code adopted by reference. </w:t>
      </w:r>
      <w:r>
        <w:rPr>
          <w:rFonts w:ascii="Times New Roman" w:hAnsi="Times New Roman"/>
          <w:b w:val="false"/>
          <w:i w:val="false"/>
          <w:color w:val="000000"/>
          <w:sz w:val="24"/>
        </w:rPr>
        <w:t>Controls and Safety Devices for Automatically Fired Boilers (CSD-1) (</w:t>
      </w:r>
      <w:r>
        <w:rPr>
          <w:rFonts w:ascii="Times New Roman" w:hAnsi="Times New Roman"/>
          <w:b w:val="false"/>
          <w:i w:val="false"/>
          <w:strike/>
          <w:color w:val="000000"/>
          <w:sz w:val="24"/>
        </w:rPr>
        <w:t>2021</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xml:space="preserve">) is adopted by reference, and installations after December 1, 2022, shall comply with it. Reporting requirements concerning CSD-1 are set forth at rule </w:t>
      </w:r>
      <w:hyperlink r:id="rId12">
        <w:r>
          <w:rPr>
            <w:rStyle w:val="Hyperlink"/>
            <w:rFonts w:ascii="Times New Roman" w:hAnsi="Times New Roman"/>
            <w:b w:val="false"/>
            <w:i w:val="false"/>
            <w:color w:val="000000"/>
            <w:sz w:val="24"/>
          </w:rPr>
          <w:t>481—390.11</w:t>
        </w:r>
      </w:hyperlink>
      <w:r>
        <w:rPr>
          <w:rFonts w:ascii="Times New Roman" w:hAnsi="Times New Roman"/>
          <w:b w:val="false"/>
          <w:i w:val="false"/>
          <w:color w:val="000000"/>
          <w:sz w:val="24"/>
        </w:rPr>
        <w:t>(89).</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391.1(6)</w:t>
      </w:r>
      <w:r>
        <w:rPr>
          <w:rFonts w:ascii="Times New Roman" w:hAnsi="Times New Roman"/>
          <w:b w:val="false"/>
          <w:i w:val="false"/>
          <w:color w:val="000000"/>
          <w:sz w:val="24"/>
        </w:rPr>
        <w:t> </w:t>
      </w:r>
      <w:r>
        <w:rPr>
          <w:rFonts w:ascii="Times New Roman" w:hAnsi="Times New Roman"/>
          <w:b w:val="false"/>
          <w:i/>
          <w:color w:val="000000"/>
          <w:sz w:val="24"/>
        </w:rPr>
        <w:t xml:space="preserve">Mechanical code adopted by reference. </w:t>
      </w:r>
      <w:r>
        <w:rPr>
          <w:rFonts w:ascii="Times New Roman" w:hAnsi="Times New Roman"/>
          <w:b w:val="false"/>
          <w:i w:val="false"/>
          <w:color w:val="000000"/>
          <w:sz w:val="24"/>
        </w:rPr>
        <w:t>Excluding Section 701.1, Chapters 2 and 7 of the International Mechanical Code (IMC) (</w:t>
      </w:r>
      <w:r>
        <w:rPr>
          <w:rFonts w:ascii="Times New Roman" w:hAnsi="Times New Roman"/>
          <w:b w:val="false"/>
          <w:i w:val="false"/>
          <w:strike/>
          <w:color w:val="000000"/>
          <w:sz w:val="24"/>
        </w:rPr>
        <w:t>2021</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are adopted by reference, and installations after February 16, 2022, shall comply with them.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391.1(7)</w:t>
      </w:r>
      <w:r>
        <w:rPr>
          <w:rFonts w:ascii="Times New Roman" w:hAnsi="Times New Roman"/>
          <w:b w:val="false"/>
          <w:i w:val="false"/>
          <w:color w:val="000000"/>
          <w:sz w:val="24"/>
        </w:rPr>
        <w:t> </w:t>
      </w:r>
      <w:r>
        <w:rPr>
          <w:rFonts w:ascii="Times New Roman" w:hAnsi="Times New Roman"/>
          <w:b w:val="false"/>
          <w:i/>
          <w:color w:val="000000"/>
          <w:sz w:val="24"/>
        </w:rPr>
        <w:t xml:space="preserve">Oil burning equipment code adopted by reference. </w:t>
      </w:r>
      <w:r>
        <w:rPr>
          <w:rFonts w:ascii="Times New Roman" w:hAnsi="Times New Roman"/>
          <w:b w:val="false"/>
          <w:i w:val="false"/>
          <w:color w:val="000000"/>
          <w:sz w:val="24"/>
        </w:rPr>
        <w:t>National Fire Protection Association Standard for the Installation of Oil Burning Equipment, NFPA 31 (</w:t>
      </w:r>
      <w:r>
        <w:rPr>
          <w:rFonts w:ascii="Times New Roman" w:hAnsi="Times New Roman"/>
          <w:b w:val="false"/>
          <w:i w:val="false"/>
          <w:strike/>
          <w:color w:val="000000"/>
          <w:sz w:val="24"/>
        </w:rPr>
        <w:t>2020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is adopted by reference, and installations after February 16, 2022, shall comply with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391.1(8)</w:t>
      </w:r>
      <w:r>
        <w:rPr>
          <w:rFonts w:ascii="Times New Roman" w:hAnsi="Times New Roman"/>
          <w:b w:val="false"/>
          <w:i w:val="false"/>
          <w:color w:val="000000"/>
          <w:sz w:val="24"/>
        </w:rPr>
        <w:t> </w:t>
      </w:r>
      <w:r>
        <w:rPr>
          <w:rFonts w:ascii="Times New Roman" w:hAnsi="Times New Roman"/>
          <w:b w:val="false"/>
          <w:i/>
          <w:color w:val="000000"/>
          <w:sz w:val="24"/>
        </w:rPr>
        <w:t xml:space="preserve">Fuel gas code adopted by reference. </w:t>
      </w:r>
      <w:r>
        <w:rPr>
          <w:rFonts w:ascii="Times New Roman" w:hAnsi="Times New Roman"/>
          <w:b w:val="false"/>
          <w:i w:val="false"/>
          <w:color w:val="000000"/>
          <w:sz w:val="24"/>
        </w:rPr>
        <w:t>National Fire Protection Association National Fuel Gas Code, NFPA 54 (</w:t>
      </w:r>
      <w:r>
        <w:rPr>
          <w:rFonts w:ascii="Times New Roman" w:hAnsi="Times New Roman"/>
          <w:b w:val="false"/>
          <w:i w:val="false"/>
          <w:strike/>
          <w:color w:val="000000"/>
          <w:sz w:val="24"/>
        </w:rPr>
        <w:t>2021</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is adopted by reference, and installations after February 16, 2022, shall comply with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391.1(9)</w:t>
      </w:r>
      <w:r>
        <w:rPr>
          <w:rFonts w:ascii="Times New Roman" w:hAnsi="Times New Roman"/>
          <w:b w:val="false"/>
          <w:i w:val="false"/>
          <w:color w:val="000000"/>
          <w:sz w:val="24"/>
        </w:rPr>
        <w:t> </w:t>
      </w:r>
      <w:r>
        <w:rPr>
          <w:rFonts w:ascii="Times New Roman" w:hAnsi="Times New Roman"/>
          <w:b w:val="false"/>
          <w:i/>
          <w:color w:val="000000"/>
          <w:sz w:val="24"/>
        </w:rPr>
        <w:t xml:space="preserve">Liquefied petroleum gas code adopted by reference. </w:t>
      </w:r>
      <w:r>
        <w:rPr>
          <w:rFonts w:ascii="Times New Roman" w:hAnsi="Times New Roman"/>
          <w:b w:val="false"/>
          <w:i w:val="false"/>
          <w:color w:val="000000"/>
          <w:sz w:val="24"/>
        </w:rPr>
        <w:t>National Fire Protection Association Liquefied Petroleum Gas Code, NFPA 58 (</w:t>
      </w:r>
      <w:r>
        <w:rPr>
          <w:rFonts w:ascii="Times New Roman" w:hAnsi="Times New Roman"/>
          <w:b w:val="false"/>
          <w:i w:val="false"/>
          <w:strike/>
          <w:color w:val="000000"/>
          <w:sz w:val="24"/>
        </w:rPr>
        <w:t>2020</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2024</w:t>
      </w:r>
      <w:r>
        <w:rPr>
          <w:rFonts w:ascii="Times New Roman" w:hAnsi="Times New Roman"/>
          <w:b w:val="false"/>
          <w:i w:val="false"/>
          <w:color w:val="000000"/>
          <w:sz w:val="24"/>
        </w:rPr>
        <w:t>), is adopted by reference, and installations after April 15, 2020, shall comply with 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391.1(10)</w:t>
      </w:r>
      <w:r>
        <w:rPr>
          <w:rFonts w:ascii="Times New Roman" w:hAnsi="Times New Roman"/>
          <w:b w:val="false"/>
          <w:i w:val="false"/>
          <w:color w:val="000000"/>
          <w:sz w:val="24"/>
        </w:rPr>
        <w:t> </w:t>
      </w:r>
      <w:r>
        <w:rPr>
          <w:rFonts w:ascii="Times New Roman" w:hAnsi="Times New Roman"/>
          <w:b w:val="false"/>
          <w:i/>
          <w:color w:val="000000"/>
          <w:sz w:val="24"/>
        </w:rPr>
        <w:t xml:space="preserve">Boiler and combustion systems hazards code adopted by reference. </w:t>
      </w:r>
      <w:r>
        <w:rPr>
          <w:rFonts w:ascii="Times New Roman" w:hAnsi="Times New Roman"/>
          <w:b w:val="false"/>
          <w:i w:val="false"/>
          <w:color w:val="000000"/>
          <w:sz w:val="24"/>
        </w:rPr>
        <w:t>National Fire Protection Association Boiler and Combustion Systems Hazards Code, NFPA 85 (</w:t>
      </w:r>
      <w:r>
        <w:rPr>
          <w:rFonts w:ascii="Times New Roman" w:hAnsi="Times New Roman"/>
          <w:b w:val="false"/>
          <w:i w:val="false"/>
          <w:strike/>
          <w:color w:val="000000"/>
          <w:sz w:val="24"/>
        </w:rPr>
        <w:t>2019</w:t>
      </w:r>
      <w:r>
        <w:rPr>
          <w:rFonts w:ascii="Times New Roman" w:hAnsi="Times New Roman"/>
          <w:b w:val="false"/>
          <w:i w:val="false"/>
          <w:color w:val="000000"/>
          <w:sz w:val="24"/>
          <w:u w:val="single"/>
        </w:rPr>
        <w:t> </w:t>
      </w:r>
      <w:r>
        <w:rPr>
          <w:rFonts w:ascii="Times New Roman" w:hAnsi="Times New Roman"/>
          <w:b w:val="false"/>
          <w:i w:val="false"/>
          <w:color w:val="000000"/>
          <w:sz w:val="24"/>
          <w:u w:val="single"/>
        </w:rPr>
        <w:t>2023</w:t>
      </w:r>
      <w:r>
        <w:rPr>
          <w:rFonts w:ascii="Times New Roman" w:hAnsi="Times New Roman"/>
          <w:b w:val="false"/>
          <w:i w:val="false"/>
          <w:color w:val="000000"/>
          <w:sz w:val="24"/>
        </w:rPr>
        <w:t>), is adopted by reference, and installations after April 15, 2020, shall comply with it.</w:t>
      </w:r>
    </w:p>
    <w:p>
      <w:pPr>
        <w:spacing w:before="0" w:after="0" w:line="240"/>
        <w:ind w:left="120"/>
        <w:jc w:val="both"/>
      </w:pP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4.</w:t>
      </w:r>
      <w:r>
        <w:rPr>
          <w:rFonts w:ascii="Times New Roman" w:hAnsi="Times New Roman"/>
          <w:b w:val="false"/>
          <w:i w:val="false"/>
          <w:color w:val="000000"/>
          <w:sz w:val="24"/>
        </w:rPr>
        <w:t>  </w:t>
      </w:r>
      <w:r>
        <w:rPr>
          <w:rFonts w:ascii="Times New Roman" w:hAnsi="Times New Roman"/>
          <w:b w:val="false"/>
          <w:i w:val="false"/>
          <w:color w:val="000000"/>
          <w:sz w:val="24"/>
        </w:rPr>
        <w:t xml:space="preserve">Amend subrule </w:t>
      </w:r>
      <w:r>
        <w:rPr>
          <w:rFonts w:ascii="Times New Roman" w:hAnsi="Times New Roman"/>
          <w:b w:val="false"/>
          <w:i w:val="false"/>
          <w:color w:val="000000"/>
          <w:sz w:val="24"/>
        </w:rPr>
        <w:t>391.10(3)</w:t>
      </w:r>
      <w:r>
        <w:rPr>
          <w:rFonts w:ascii="Times New Roman" w:hAnsi="Times New Roman"/>
          <w:b w:val="false"/>
          <w:i w:val="false"/>
          <w:color w:val="000000"/>
          <w:sz w:val="24"/>
        </w:rPr>
        <w:t xml:space="preserv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391.10(3)</w:t>
      </w:r>
      <w:r>
        <w:rPr>
          <w:rFonts w:ascii="Times New Roman" w:hAnsi="Times New Roman"/>
          <w:b w:val="false"/>
          <w:i w:val="false"/>
          <w:color w:val="000000"/>
          <w:sz w:val="24"/>
        </w:rPr>
        <w:t> </w:t>
      </w:r>
      <w:r>
        <w:rPr>
          <w:rFonts w:ascii="Times New Roman" w:hAnsi="Times New Roman"/>
          <w:b w:val="false"/>
          <w:i/>
          <w:color w:val="000000"/>
          <w:sz w:val="24"/>
        </w:rPr>
        <w:t xml:space="preserve">National combustion air standards.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Installations. </w:t>
      </w:r>
      <w:r>
        <w:rPr>
          <w:rFonts w:ascii="Times New Roman" w:hAnsi="Times New Roman"/>
          <w:b w:val="false"/>
          <w:i w:val="false"/>
          <w:color w:val="000000"/>
          <w:sz w:val="24"/>
        </w:rPr>
        <w:t xml:space="preserve">Installations will comply with the edition of NFPA 31, NFPA 54, NFPA 58, NFPA 85, or IMC currently adopted at rule </w:t>
      </w:r>
      <w:hyperlink r:id="rId13">
        <w:r>
          <w:rPr>
            <w:rStyle w:val="Hyperlink"/>
            <w:rFonts w:ascii="Times New Roman" w:hAnsi="Times New Roman"/>
            <w:b w:val="false"/>
            <w:i w:val="false"/>
            <w:color w:val="000000"/>
            <w:sz w:val="24"/>
          </w:rPr>
          <w:t>481—391.1</w:t>
        </w:r>
      </w:hyperlink>
      <w:r>
        <w:rPr>
          <w:rFonts w:ascii="Times New Roman" w:hAnsi="Times New Roman"/>
          <w:b w:val="false"/>
          <w:i w:val="false"/>
          <w:color w:val="000000"/>
          <w:sz w:val="24"/>
        </w:rPr>
        <w:t xml:space="preserve">(89) or with the Iowa combustion air standard in subrule </w:t>
      </w:r>
      <w:hyperlink r:id="rId14">
        <w:r>
          <w:rPr>
            <w:rStyle w:val="Hyperlink"/>
            <w:rFonts w:ascii="Times New Roman" w:hAnsi="Times New Roman"/>
            <w:b w:val="false"/>
            <w:i w:val="false"/>
            <w:strike/>
            <w:color w:val="000000"/>
            <w:sz w:val="24"/>
          </w:rPr>
          <w:t>391.13(4)</w:t>
        </w:r>
      </w:hyperlink>
      <w:r>
        <w:rPr>
          <w:rFonts w:ascii="Times New Roman" w:hAnsi="Times New Roman"/>
          <w:b w:val="false"/>
          <w:i w:val="false"/>
          <w:color w:val="000000"/>
          <w:sz w:val="24"/>
          <w:u w:val="single"/>
        </w:rPr>
        <w:t> </w:t>
      </w:r>
      <w:hyperlink r:id="rId15">
        <w:r>
          <w:rPr>
            <w:rStyle w:val="Hyperlink"/>
            <w:rFonts w:ascii="Times New Roman" w:hAnsi="Times New Roman"/>
            <w:b w:val="false"/>
            <w:i w:val="false"/>
            <w:color w:val="000000"/>
            <w:sz w:val="24"/>
            <w:u w:val="single"/>
          </w:rPr>
          <w:t>391.10(4)</w:t>
        </w:r>
      </w:hyperlink>
      <w:r>
        <w:rPr>
          <w:rFonts w:ascii="Times New Roman" w:hAnsi="Times New Roman"/>
          <w:b w:val="false"/>
          <w:i w:val="false"/>
          <w:color w:val="000000"/>
          <w:sz w:val="24"/>
        </w:rPr>
        <w:t>. However, compliance with one of the listed NFPA codes constitutes compliance with this rule only if the object burns the fuel covered by the NFPA.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Existing objects. </w:t>
      </w:r>
      <w:r>
        <w:rPr>
          <w:rFonts w:ascii="Times New Roman" w:hAnsi="Times New Roman"/>
          <w:b w:val="false"/>
          <w:i w:val="false"/>
          <w:color w:val="000000"/>
          <w:sz w:val="24"/>
        </w:rPr>
        <w:t xml:space="preserve">An adequate supply of combustion air will be maintained for all objects while in operation. Compliance with the current edition of NFPA 31, NFPA 54, NFPA 58, NFPA 85, or IMC as adopted at rule </w:t>
      </w:r>
      <w:hyperlink r:id="rId16">
        <w:r>
          <w:rPr>
            <w:rStyle w:val="Hyperlink"/>
            <w:rFonts w:ascii="Times New Roman" w:hAnsi="Times New Roman"/>
            <w:b w:val="false"/>
            <w:i w:val="false"/>
            <w:color w:val="000000"/>
            <w:sz w:val="24"/>
          </w:rPr>
          <w:t>481—391.1</w:t>
        </w:r>
      </w:hyperlink>
      <w:r>
        <w:rPr>
          <w:rFonts w:ascii="Times New Roman" w:hAnsi="Times New Roman"/>
          <w:b w:val="false"/>
          <w:i w:val="false"/>
          <w:color w:val="000000"/>
          <w:sz w:val="24"/>
        </w:rPr>
        <w:t xml:space="preserve">(89) or with subrule </w:t>
      </w:r>
      <w:hyperlink r:id="rId17">
        <w:r>
          <w:rPr>
            <w:rStyle w:val="Hyperlink"/>
            <w:rFonts w:ascii="Times New Roman" w:hAnsi="Times New Roman"/>
            <w:b w:val="false"/>
            <w:i w:val="false"/>
            <w:strike/>
            <w:color w:val="000000"/>
            <w:sz w:val="24"/>
          </w:rPr>
          <w:t>391.13(4)</w:t>
        </w:r>
      </w:hyperlink>
      <w:r>
        <w:rPr>
          <w:rFonts w:ascii="Times New Roman" w:hAnsi="Times New Roman"/>
          <w:b w:val="false"/>
          <w:i w:val="false"/>
          <w:color w:val="000000"/>
          <w:sz w:val="24"/>
          <w:u w:val="single"/>
        </w:rPr>
        <w:t> </w:t>
      </w:r>
      <w:hyperlink r:id="rId18">
        <w:r>
          <w:rPr>
            <w:rStyle w:val="Hyperlink"/>
            <w:rFonts w:ascii="Times New Roman" w:hAnsi="Times New Roman"/>
            <w:b w:val="false"/>
            <w:i w:val="false"/>
            <w:color w:val="000000"/>
            <w:sz w:val="24"/>
            <w:u w:val="single"/>
          </w:rPr>
          <w:t>391.10(4)</w:t>
        </w:r>
      </w:hyperlink>
      <w:r>
        <w:rPr>
          <w:rFonts w:ascii="Times New Roman" w:hAnsi="Times New Roman"/>
          <w:b w:val="false"/>
          <w:i w:val="false"/>
          <w:color w:val="000000"/>
          <w:sz w:val="24"/>
        </w:rPr>
        <w:t xml:space="preserve"> constitutes compliance with this rule. Compliance with an earlier edition of NFPA 31, NFPA 54, NFPA 58, NFPA 85, or IMC constitutes compliance with this rule. However, compliance with one of the listed NFPA codes constitutes compliance with this rule only if the object burns the fuel covered by the NFPA. Compliance with an earlier version of Iowa’s combustion air rule constitutes compliance with this rule. Earlier versions of Iowa’s combustion air rule are available from the board’s staff upon request.</w:t>
      </w:r>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mitchell.mahan@dia.iowa.gov" Type="http://schemas.openxmlformats.org/officeDocument/2006/relationships/hyperlink" Id="rId4"/>
    <Relationship TargetMode="External" Target="https://www.legis.iowa.gov/docs/ico/chapter/89.pdf" Type="http://schemas.openxmlformats.org/officeDocument/2006/relationships/hyperlink" Id="rId5"/>
    <Relationship TargetMode="External" Target="https://www.legis.iowa.gov/docs/iac/rule/481.390.15.pdf" Type="http://schemas.openxmlformats.org/officeDocument/2006/relationships/hyperlink" Id="rId6"/>
    <Relationship TargetMode="External" Target="https://www.legis.iowa.gov/docs/iac/rule/481.390.14.pdf" Type="http://schemas.openxmlformats.org/officeDocument/2006/relationships/hyperlink" Id="rId7"/>
    <Relationship TargetMode="External" Target="https://www.legis.iowa.gov/docs/iac/rule/481.390.15.pdf" Type="http://schemas.openxmlformats.org/officeDocument/2006/relationships/hyperlink" Id="rId8"/>
    <Relationship TargetMode="External" Target="https://www.legis.iowa.gov/docs/iac/rule/481.390.14.pdf" Type="http://schemas.openxmlformats.org/officeDocument/2006/relationships/hyperlink" Id="rId9"/>
    <Relationship TargetMode="External" Target="https://www.legis.iowa.gov/docs/iac/rule/481.390.15.pdf" Type="http://schemas.openxmlformats.org/officeDocument/2006/relationships/hyperlink" Id="rId10"/>
    <Relationship TargetMode="External" Target="https://www.legis.iowa.gov/docs/iac/rule/481.390.14.pdf" Type="http://schemas.openxmlformats.org/officeDocument/2006/relationships/hyperlink" Id="rId11"/>
    <Relationship TargetMode="External" Target="https://www.legis.iowa.gov/docs/iac/rule/481.390.11.pdf" Type="http://schemas.openxmlformats.org/officeDocument/2006/relationships/hyperlink" Id="rId12"/>
    <Relationship TargetMode="External" Target="https://www.legis.iowa.gov/docs/iac/rule/481.391.1.pdf" Type="http://schemas.openxmlformats.org/officeDocument/2006/relationships/hyperlink" Id="rId13"/>
    <Relationship TargetMode="External" Target="https://www.legis.iowa.gov/docs/iac/rule/481.391.13.pdf" Type="http://schemas.openxmlformats.org/officeDocument/2006/relationships/hyperlink" Id="rId14"/>
    <Relationship TargetMode="External" Target="https://www.legis.iowa.gov/docs/iac/rule/481.391.10.pdf" Type="http://schemas.openxmlformats.org/officeDocument/2006/relationships/hyperlink" Id="rId15"/>
    <Relationship TargetMode="External" Target="https://www.legis.iowa.gov/docs/iac/agency/481.pdf" Type="http://schemas.openxmlformats.org/officeDocument/2006/relationships/hyperlink" Id="rId16"/>
    <Relationship TargetMode="External" Target="https://www.legis.iowa.gov/docs/iac/agency/481.pdf" Type="http://schemas.openxmlformats.org/officeDocument/2006/relationships/hyperlink" Id="rId17"/>
    <Relationship TargetMode="External" Target="https://www.legis.iowa.gov/docs/iac/rule/481.391.10.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